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CC9" w:rsidRDefault="00230CC9" w:rsidP="00230CC9">
      <w:pPr>
        <w:pStyle w:val="2"/>
      </w:pPr>
      <w:r w:rsidRPr="00823800">
        <w:rPr>
          <w:rFonts w:ascii="Times New Roman" w:hAnsi="Times New Roman" w:cs="Times New Roman"/>
        </w:rPr>
        <w:t>专练</w:t>
      </w:r>
      <w:r w:rsidRPr="00823800">
        <w:rPr>
          <w:rFonts w:ascii="Times New Roman" w:hAnsi="Times New Roman" w:cs="Times New Roman"/>
        </w:rPr>
        <w:t>12</w:t>
      </w:r>
      <w:r>
        <w:rPr>
          <w:rFonts w:ascii="Times New Roman" w:hAnsi="Times New Roman" w:cs="Times New Roman"/>
        </w:rPr>
        <w:t xml:space="preserve">　</w:t>
      </w:r>
      <w:r w:rsidRPr="00823800">
        <w:rPr>
          <w:rFonts w:ascii="Times New Roman" w:hAnsi="Times New Roman" w:cs="Times New Roman"/>
        </w:rPr>
        <w:t>被动运输</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下列物质中不需要转运蛋白协助就能通过细胞膜进入细胞的是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甘油、脂肪酸、苯、</w:t>
      </w:r>
      <w:r w:rsidRPr="00823800">
        <w:rPr>
          <w:rFonts w:ascii="Times New Roman" w:hAnsi="Times New Roman" w:cs="Times New Roman"/>
        </w:rPr>
        <w:t>K</w:t>
      </w:r>
      <w:r w:rsidRPr="00823800">
        <w:rPr>
          <w:rFonts w:ascii="Times New Roman" w:hAnsi="Times New Roman" w:cs="Times New Roman"/>
          <w:vertAlign w:val="superscript"/>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葡萄糖、</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、氨基酸</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甘油、乙醇、维生素</w:t>
      </w:r>
      <w:r w:rsidRPr="00823800">
        <w:rPr>
          <w:rFonts w:ascii="Times New Roman" w:hAnsi="Times New Roman" w:cs="Times New Roman"/>
        </w:rPr>
        <w:t>A</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胆固醇、</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rPr>
        <w:t>、氨基酸、</w:t>
      </w:r>
      <w:r w:rsidRPr="00823800">
        <w:rPr>
          <w:rFonts w:ascii="Times New Roman" w:hAnsi="Times New Roman" w:cs="Times New Roman"/>
        </w:rPr>
        <w:t>Na</w:t>
      </w:r>
      <w:r w:rsidRPr="00823800">
        <w:rPr>
          <w:rFonts w:ascii="Times New Roman" w:hAnsi="Times New Roman" w:cs="Times New Roman"/>
          <w:vertAlign w:val="superscript"/>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广东六校联考</w:t>
      </w:r>
      <w:r>
        <w:rPr>
          <w:rFonts w:ascii="Times New Roman" w:eastAsia="楷体_GB2312" w:hAnsi="Times New Roman" w:cs="Times New Roman"/>
        </w:rPr>
        <w:t>]</w:t>
      </w:r>
      <w:r w:rsidRPr="00823800">
        <w:rPr>
          <w:rFonts w:ascii="Times New Roman" w:hAnsi="Times New Roman" w:cs="Times New Roman"/>
        </w:rPr>
        <w:t>下列关于通道蛋白的说法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hint="eastAsia"/>
        </w:rPr>
        <w:t>一种离子通道蛋白只允许一种离子通过</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水通道蛋白是镶在细胞膜表面的蛋白质</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细胞膜上的钠离子通道蛋白与水通道蛋白在空间结构上有差异</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物质通过通道蛋白的运输属于被动运输</w:t>
      </w:r>
      <w:r>
        <w:rPr>
          <w:rFonts w:ascii="Times New Roman" w:hAnsi="Times New Roman" w:cs="Times New Roman"/>
        </w:rPr>
        <w:t>，</w:t>
      </w:r>
      <w:r w:rsidRPr="00823800">
        <w:rPr>
          <w:rFonts w:ascii="Times New Roman" w:hAnsi="Times New Roman" w:cs="Times New Roman"/>
        </w:rPr>
        <w:t>不消耗能量</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现有取自同一个紫色洋葱鳞片叶外表皮的大小相同、生理状态相似的两个成熟细胞</w:t>
      </w:r>
      <w:r>
        <w:rPr>
          <w:rFonts w:ascii="Times New Roman" w:hAnsi="Times New Roman" w:cs="Times New Roman"/>
        </w:rPr>
        <w:t>，</w:t>
      </w:r>
      <w:r w:rsidRPr="00823800">
        <w:rPr>
          <w:rFonts w:ascii="Times New Roman" w:hAnsi="Times New Roman" w:cs="Times New Roman"/>
        </w:rPr>
        <w:t>将它们分别浸没在甲、乙两种溶液中</w:t>
      </w:r>
      <w:r>
        <w:rPr>
          <w:rFonts w:ascii="Times New Roman" w:hAnsi="Times New Roman" w:cs="Times New Roman"/>
        </w:rPr>
        <w:t>，</w:t>
      </w:r>
      <w:r w:rsidRPr="00823800">
        <w:rPr>
          <w:rFonts w:ascii="Times New Roman" w:hAnsi="Times New Roman" w:cs="Times New Roman"/>
        </w:rPr>
        <w:t>测得液泡直径的变化情况如图所示。下列有关叙述正确的是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27250" cy="908050"/>
            <wp:effectExtent l="0" t="0" r="6350" b="6350"/>
            <wp:docPr id="4" name="图片 4" descr="22新微生物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7250" cy="908050"/>
                    </a:xfrm>
                    <a:prstGeom prst="rect">
                      <a:avLst/>
                    </a:prstGeom>
                    <a:noFill/>
                    <a:ln>
                      <a:noFill/>
                    </a:ln>
                  </pic:spPr>
                </pic:pic>
              </a:graphicData>
            </a:graphic>
          </wp:inline>
        </w:drawing>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乙溶液的浓度比甲溶液的浓度大</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只有在乙溶液中的细胞发生了质壁分离</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hint="eastAsia"/>
        </w:rPr>
        <w:t>处理</w:t>
      </w:r>
      <w:r w:rsidRPr="00823800">
        <w:rPr>
          <w:rFonts w:ascii="Times New Roman" w:hAnsi="Times New Roman" w:cs="Times New Roman"/>
        </w:rPr>
        <w:t>2min</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甲、乙溶液中细胞的细胞液浓度均大于初始值</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本实验若选用黑藻叶肉细胞为材料</w:t>
      </w:r>
      <w:r>
        <w:rPr>
          <w:rFonts w:ascii="Times New Roman" w:hAnsi="Times New Roman" w:cs="Times New Roman"/>
        </w:rPr>
        <w:t>，</w:t>
      </w:r>
      <w:r w:rsidRPr="00823800">
        <w:rPr>
          <w:rFonts w:ascii="Times New Roman" w:hAnsi="Times New Roman" w:cs="Times New Roman"/>
        </w:rPr>
        <w:t>则会干扰实验现象</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河北迁安一中月考</w:t>
      </w:r>
      <w:r>
        <w:rPr>
          <w:rFonts w:ascii="Times New Roman" w:eastAsia="楷体_GB2312" w:hAnsi="Times New Roman" w:cs="Times New Roman"/>
        </w:rPr>
        <w:t>]</w:t>
      </w:r>
      <w:r w:rsidRPr="00823800">
        <w:rPr>
          <w:rFonts w:ascii="Times New Roman" w:hAnsi="Times New Roman" w:cs="Times New Roman"/>
        </w:rPr>
        <w:t>下列关于植物细胞质壁分离实验的叙述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与白色花瓣相比</w:t>
      </w:r>
      <w:r>
        <w:rPr>
          <w:rFonts w:ascii="Times New Roman" w:hAnsi="Times New Roman" w:cs="Times New Roman"/>
        </w:rPr>
        <w:t>，</w:t>
      </w:r>
      <w:r w:rsidRPr="00823800">
        <w:rPr>
          <w:rFonts w:ascii="Times New Roman" w:hAnsi="Times New Roman" w:cs="Times New Roman"/>
        </w:rPr>
        <w:t>采用红色花瓣有利于实验现象的观察</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用黑藻叶片进行实验时</w:t>
      </w:r>
      <w:r>
        <w:rPr>
          <w:rFonts w:ascii="Times New Roman" w:hAnsi="Times New Roman" w:cs="Times New Roman"/>
        </w:rPr>
        <w:t>，</w:t>
      </w:r>
      <w:r w:rsidRPr="00823800">
        <w:rPr>
          <w:rFonts w:ascii="Times New Roman" w:hAnsi="Times New Roman" w:cs="Times New Roman"/>
        </w:rPr>
        <w:t>叶绿体的存在会干扰实验现象的观察</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用紫色洋葱鳞片叶外表皮不同部位观察到的质壁分离程度可能不同</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紫色洋葱鳞片叶外表皮细胞的液泡中有色素</w:t>
      </w:r>
      <w:r>
        <w:rPr>
          <w:rFonts w:ascii="Times New Roman" w:hAnsi="Times New Roman" w:cs="Times New Roman"/>
        </w:rPr>
        <w:t>，</w:t>
      </w:r>
      <w:r w:rsidRPr="00823800">
        <w:rPr>
          <w:rFonts w:ascii="Times New Roman" w:hAnsi="Times New Roman" w:cs="Times New Roman"/>
        </w:rPr>
        <w:t>有利于实验现象的观察</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hint="eastAsia"/>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辽宁沈阳铁路实验中学高一上期中</w:t>
      </w:r>
      <w:r>
        <w:rPr>
          <w:rFonts w:ascii="Times New Roman" w:eastAsia="楷体_GB2312" w:hAnsi="Times New Roman" w:cs="Times New Roman"/>
        </w:rPr>
        <w:t>]</w:t>
      </w:r>
      <w:r w:rsidRPr="00823800">
        <w:rPr>
          <w:rFonts w:ascii="Times New Roman" w:hAnsi="Times New Roman" w:cs="Times New Roman"/>
        </w:rPr>
        <w:t>研究发现</w:t>
      </w:r>
      <w:r>
        <w:rPr>
          <w:rFonts w:ascii="Times New Roman" w:hAnsi="Times New Roman" w:cs="Times New Roman"/>
        </w:rPr>
        <w:t>，</w:t>
      </w:r>
      <w:r w:rsidRPr="00823800">
        <w:rPr>
          <w:rFonts w:ascii="Times New Roman" w:hAnsi="Times New Roman" w:cs="Times New Roman"/>
        </w:rPr>
        <w:t>水分子进入植物细胞的两种方式如图所示。下列叙述错误的是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12950" cy="1238250"/>
            <wp:effectExtent l="0" t="0" r="6350" b="0"/>
            <wp:docPr id="3" name="图片 3" descr="22新微生物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新微生物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2950" cy="1238250"/>
                    </a:xfrm>
                    <a:prstGeom prst="rect">
                      <a:avLst/>
                    </a:prstGeom>
                    <a:noFill/>
                    <a:ln>
                      <a:noFill/>
                    </a:ln>
                  </pic:spPr>
                </pic:pic>
              </a:graphicData>
            </a:graphic>
          </wp:inline>
        </w:drawing>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根毛细胞吸水能力与其细胞液中水的相对含量有关</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土壤溶液浓度过高时</w:t>
      </w:r>
      <w:r>
        <w:rPr>
          <w:rFonts w:ascii="Times New Roman" w:hAnsi="Times New Roman" w:cs="Times New Roman"/>
        </w:rPr>
        <w:t>，</w:t>
      </w:r>
      <w:r w:rsidRPr="00823800">
        <w:rPr>
          <w:rFonts w:ascii="Times New Roman" w:hAnsi="Times New Roman" w:cs="Times New Roman"/>
        </w:rPr>
        <w:t>植物细胞吸水需要消耗能量</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水分子通过水通道蛋白是顺浓度梯度运输的</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水分子通过水通道蛋白的跨膜运输方式为协助扩散</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在中部装有半透膜</w:t>
      </w:r>
      <w:r>
        <w:rPr>
          <w:rFonts w:ascii="Times New Roman" w:hAnsi="Times New Roman" w:cs="Times New Roman"/>
        </w:rPr>
        <w:t>(</w:t>
      </w:r>
      <w:r w:rsidRPr="00823800">
        <w:rPr>
          <w:rFonts w:ascii="Times New Roman" w:hAnsi="Times New Roman" w:cs="Times New Roman"/>
        </w:rPr>
        <w:t>允许葡萄糖通过</w:t>
      </w:r>
      <w:r>
        <w:rPr>
          <w:rFonts w:ascii="Times New Roman" w:hAnsi="Times New Roman" w:cs="Times New Roman"/>
        </w:rPr>
        <w:t>，</w:t>
      </w:r>
      <w:r w:rsidRPr="00823800">
        <w:rPr>
          <w:rFonts w:ascii="Times New Roman" w:hAnsi="Times New Roman" w:cs="Times New Roman"/>
        </w:rPr>
        <w:t>不允许蔗糖通过</w:t>
      </w:r>
      <w:r>
        <w:rPr>
          <w:rFonts w:ascii="Times New Roman" w:hAnsi="Times New Roman" w:cs="Times New Roman"/>
        </w:rPr>
        <w:t>)</w:t>
      </w:r>
      <w:r w:rsidRPr="00823800">
        <w:rPr>
          <w:rFonts w:ascii="Times New Roman" w:hAnsi="Times New Roman" w:cs="Times New Roman"/>
        </w:rPr>
        <w:t>的</w:t>
      </w:r>
      <w:r w:rsidRPr="00823800">
        <w:rPr>
          <w:rFonts w:ascii="Times New Roman" w:hAnsi="Times New Roman" w:cs="Times New Roman"/>
        </w:rPr>
        <w:t>U</w:t>
      </w:r>
      <w:r w:rsidRPr="00823800">
        <w:rPr>
          <w:rFonts w:ascii="Times New Roman" w:hAnsi="Times New Roman" w:cs="Times New Roman"/>
        </w:rPr>
        <w:t>形管</w:t>
      </w:r>
      <w:r>
        <w:rPr>
          <w:rFonts w:ascii="Times New Roman" w:hAnsi="Times New Roman" w:cs="Times New Roman"/>
        </w:rPr>
        <w:t>(</w:t>
      </w:r>
      <w:r w:rsidRPr="00823800">
        <w:rPr>
          <w:rFonts w:ascii="Times New Roman" w:hAnsi="Times New Roman" w:cs="Times New Roman"/>
        </w:rPr>
        <w:t>如图</w:t>
      </w:r>
      <w:r>
        <w:rPr>
          <w:rFonts w:ascii="Times New Roman" w:hAnsi="Times New Roman" w:cs="Times New Roman"/>
        </w:rPr>
        <w:t>)</w:t>
      </w:r>
      <w:r w:rsidRPr="00823800">
        <w:rPr>
          <w:rFonts w:ascii="Times New Roman" w:hAnsi="Times New Roman" w:cs="Times New Roman"/>
        </w:rPr>
        <w:t>中进行相关实验</w:t>
      </w:r>
      <w:r>
        <w:rPr>
          <w:rFonts w:ascii="Times New Roman" w:hAnsi="Times New Roman" w:cs="Times New Roman"/>
        </w:rPr>
        <w:t>，</w:t>
      </w:r>
      <w:r w:rsidRPr="00823800">
        <w:rPr>
          <w:rFonts w:ascii="Times New Roman" w:hAnsi="Times New Roman" w:cs="Times New Roman" w:hint="eastAsia"/>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755650" cy="825500"/>
            <wp:effectExtent l="0" t="0" r="6350" b="0"/>
            <wp:docPr id="2" name="图片 2" descr="22新微生物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新微生物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5650" cy="825500"/>
                    </a:xfrm>
                    <a:prstGeom prst="rect">
                      <a:avLst/>
                    </a:prstGeom>
                    <a:noFill/>
                    <a:ln>
                      <a:noFill/>
                    </a:ln>
                  </pic:spPr>
                </pic:pic>
              </a:graphicData>
            </a:graphic>
          </wp:inline>
        </w:drawing>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a</w:t>
      </w:r>
      <w:r w:rsidRPr="00823800">
        <w:rPr>
          <w:rFonts w:ascii="Times New Roman" w:hAnsi="Times New Roman" w:cs="Times New Roman"/>
        </w:rPr>
        <w:t>侧为质量浓度为</w:t>
      </w:r>
      <w:r w:rsidRPr="00823800">
        <w:rPr>
          <w:rFonts w:ascii="Times New Roman" w:hAnsi="Times New Roman" w:cs="Times New Roman"/>
        </w:rPr>
        <w:t>0.05g/mL</w:t>
      </w:r>
      <w:r w:rsidRPr="00823800">
        <w:rPr>
          <w:rFonts w:ascii="Times New Roman" w:hAnsi="Times New Roman" w:cs="Times New Roman"/>
        </w:rPr>
        <w:t>的蔗糖溶液</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侧为清水</w:t>
      </w:r>
      <w:r>
        <w:rPr>
          <w:rFonts w:ascii="Times New Roman" w:hAnsi="Times New Roman" w:cs="Times New Roman"/>
        </w:rPr>
        <w:t>，</w:t>
      </w:r>
      <w:r w:rsidRPr="00823800">
        <w:rPr>
          <w:rFonts w:ascii="Times New Roman" w:hAnsi="Times New Roman" w:cs="Times New Roman"/>
        </w:rPr>
        <w:t>两侧液面初始高度相同</w:t>
      </w:r>
      <w:r>
        <w:rPr>
          <w:rFonts w:ascii="Times New Roman" w:hAnsi="Times New Roman" w:cs="Times New Roman"/>
        </w:rPr>
        <w:t>，</w:t>
      </w:r>
      <w:r w:rsidRPr="00823800">
        <w:rPr>
          <w:rFonts w:ascii="Times New Roman" w:hAnsi="Times New Roman" w:cs="Times New Roman"/>
        </w:rPr>
        <w:t>一段时间后</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侧液面升高</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a</w:t>
      </w:r>
      <w:r w:rsidRPr="00823800">
        <w:rPr>
          <w:rFonts w:ascii="Times New Roman" w:hAnsi="Times New Roman" w:cs="Times New Roman"/>
        </w:rPr>
        <w:t>侧为质量浓度为</w:t>
      </w:r>
      <w:r w:rsidRPr="00823800">
        <w:rPr>
          <w:rFonts w:ascii="Times New Roman" w:hAnsi="Times New Roman" w:cs="Times New Roman"/>
        </w:rPr>
        <w:t>0.05g/mL</w:t>
      </w:r>
      <w:r w:rsidRPr="00823800">
        <w:rPr>
          <w:rFonts w:ascii="Times New Roman" w:hAnsi="Times New Roman" w:cs="Times New Roman"/>
        </w:rPr>
        <w:t>的蔗糖溶液</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侧为质量浓度为</w:t>
      </w:r>
      <w:r w:rsidRPr="00823800">
        <w:rPr>
          <w:rFonts w:ascii="Times New Roman" w:hAnsi="Times New Roman" w:cs="Times New Roman"/>
        </w:rPr>
        <w:t>0.1g/mL</w:t>
      </w:r>
      <w:r w:rsidRPr="00823800">
        <w:rPr>
          <w:rFonts w:ascii="Times New Roman" w:hAnsi="Times New Roman" w:cs="Times New Roman"/>
        </w:rPr>
        <w:t>的蔗糖溶液</w:t>
      </w:r>
      <w:r>
        <w:rPr>
          <w:rFonts w:ascii="Times New Roman" w:hAnsi="Times New Roman" w:cs="Times New Roman"/>
        </w:rPr>
        <w:t>，</w:t>
      </w:r>
      <w:r w:rsidRPr="00823800">
        <w:rPr>
          <w:rFonts w:ascii="Times New Roman" w:hAnsi="Times New Roman" w:cs="Times New Roman"/>
        </w:rPr>
        <w:t>两侧液面初始高度相同</w:t>
      </w:r>
      <w:r>
        <w:rPr>
          <w:rFonts w:ascii="Times New Roman" w:hAnsi="Times New Roman" w:cs="Times New Roman"/>
        </w:rPr>
        <w:t>，</w:t>
      </w:r>
      <w:r w:rsidRPr="00823800">
        <w:rPr>
          <w:rFonts w:ascii="Times New Roman" w:hAnsi="Times New Roman" w:cs="Times New Roman"/>
        </w:rPr>
        <w:t>一段时间后</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侧液面升高</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a</w:t>
      </w:r>
      <w:r w:rsidRPr="00823800">
        <w:rPr>
          <w:rFonts w:ascii="Times New Roman" w:hAnsi="Times New Roman" w:cs="Times New Roman"/>
        </w:rPr>
        <w:t>侧为质量浓度为</w:t>
      </w:r>
      <w:r w:rsidRPr="00823800">
        <w:rPr>
          <w:rFonts w:ascii="Times New Roman" w:hAnsi="Times New Roman" w:cs="Times New Roman"/>
        </w:rPr>
        <w:t>0.1g/mL</w:t>
      </w:r>
      <w:r w:rsidRPr="00823800">
        <w:rPr>
          <w:rFonts w:ascii="Times New Roman" w:hAnsi="Times New Roman" w:cs="Times New Roman"/>
        </w:rPr>
        <w:t>的葡萄糖溶液</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侧为质量浓度为</w:t>
      </w:r>
      <w:r w:rsidRPr="00823800">
        <w:rPr>
          <w:rFonts w:ascii="Times New Roman" w:hAnsi="Times New Roman" w:cs="Times New Roman"/>
        </w:rPr>
        <w:t>0.1g/mL</w:t>
      </w:r>
      <w:r w:rsidRPr="00823800">
        <w:rPr>
          <w:rFonts w:ascii="Times New Roman" w:hAnsi="Times New Roman" w:cs="Times New Roman"/>
        </w:rPr>
        <w:t>的蔗糖溶液</w:t>
      </w:r>
      <w:r>
        <w:rPr>
          <w:rFonts w:ascii="Times New Roman" w:hAnsi="Times New Roman" w:cs="Times New Roman"/>
        </w:rPr>
        <w:t>，</w:t>
      </w:r>
      <w:r w:rsidRPr="00823800">
        <w:rPr>
          <w:rFonts w:ascii="Times New Roman" w:hAnsi="Times New Roman" w:cs="Times New Roman"/>
        </w:rPr>
        <w:t>两侧液面初始高度相同</w:t>
      </w:r>
      <w:r>
        <w:rPr>
          <w:rFonts w:ascii="Times New Roman" w:hAnsi="Times New Roman" w:cs="Times New Roman"/>
        </w:rPr>
        <w:t>，</w:t>
      </w:r>
      <w:r w:rsidRPr="00823800">
        <w:rPr>
          <w:rFonts w:ascii="Times New Roman" w:hAnsi="Times New Roman" w:cs="Times New Roman"/>
        </w:rPr>
        <w:t>最终</w:t>
      </w:r>
      <w:r w:rsidRPr="00823800">
        <w:rPr>
          <w:rFonts w:ascii="Times New Roman" w:hAnsi="Times New Roman" w:cs="Times New Roman"/>
        </w:rPr>
        <w:t>b</w:t>
      </w:r>
      <w:r w:rsidRPr="00823800">
        <w:rPr>
          <w:rFonts w:ascii="Times New Roman" w:hAnsi="Times New Roman" w:cs="Times New Roman"/>
        </w:rPr>
        <w:t>侧液面高于</w:t>
      </w:r>
      <w:r w:rsidRPr="00823800">
        <w:rPr>
          <w:rFonts w:ascii="Times New Roman" w:hAnsi="Times New Roman" w:cs="Times New Roman"/>
        </w:rPr>
        <w:t>a</w:t>
      </w:r>
      <w:r w:rsidRPr="00823800">
        <w:rPr>
          <w:rFonts w:ascii="Times New Roman" w:hAnsi="Times New Roman" w:cs="Times New Roman"/>
        </w:rPr>
        <w:t>侧</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a</w:t>
      </w:r>
      <w:r w:rsidRPr="00823800">
        <w:rPr>
          <w:rFonts w:ascii="Times New Roman" w:hAnsi="Times New Roman" w:cs="Times New Roman"/>
        </w:rPr>
        <w:t>侧为质量浓度为</w:t>
      </w:r>
      <w:r w:rsidRPr="00823800">
        <w:rPr>
          <w:rFonts w:ascii="Times New Roman" w:hAnsi="Times New Roman" w:cs="Times New Roman"/>
        </w:rPr>
        <w:t>0.5g/mL</w:t>
      </w:r>
      <w:r w:rsidRPr="00823800">
        <w:rPr>
          <w:rFonts w:ascii="Times New Roman" w:hAnsi="Times New Roman" w:cs="Times New Roman"/>
        </w:rPr>
        <w:t>的葡萄糖溶液</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侧为质量浓度为</w:t>
      </w:r>
      <w:r w:rsidRPr="00823800">
        <w:rPr>
          <w:rFonts w:ascii="Times New Roman" w:hAnsi="Times New Roman" w:cs="Times New Roman"/>
        </w:rPr>
        <w:t>0.1g/mL</w:t>
      </w:r>
      <w:r w:rsidRPr="00823800">
        <w:rPr>
          <w:rFonts w:ascii="Times New Roman" w:hAnsi="Times New Roman" w:cs="Times New Roman"/>
        </w:rPr>
        <w:t>的葡萄糖溶液</w:t>
      </w:r>
      <w:r>
        <w:rPr>
          <w:rFonts w:ascii="Times New Roman" w:hAnsi="Times New Roman" w:cs="Times New Roman"/>
        </w:rPr>
        <w:t>，</w:t>
      </w:r>
      <w:r w:rsidRPr="00823800">
        <w:rPr>
          <w:rFonts w:ascii="Times New Roman" w:hAnsi="Times New Roman" w:cs="Times New Roman"/>
        </w:rPr>
        <w:t>两侧液面初始高度相同</w:t>
      </w:r>
      <w:r>
        <w:rPr>
          <w:rFonts w:ascii="Times New Roman" w:hAnsi="Times New Roman" w:cs="Times New Roman"/>
        </w:rPr>
        <w:t>，</w:t>
      </w:r>
      <w:r w:rsidRPr="00823800">
        <w:rPr>
          <w:rFonts w:ascii="Times New Roman" w:hAnsi="Times New Roman" w:cs="Times New Roman"/>
        </w:rPr>
        <w:t>最终</w:t>
      </w:r>
      <w:r w:rsidRPr="00823800">
        <w:rPr>
          <w:rFonts w:ascii="Times New Roman" w:hAnsi="Times New Roman" w:cs="Times New Roman"/>
        </w:rPr>
        <w:t>b</w:t>
      </w:r>
      <w:r w:rsidRPr="00823800">
        <w:rPr>
          <w:rFonts w:ascii="Times New Roman" w:hAnsi="Times New Roman" w:cs="Times New Roman"/>
        </w:rPr>
        <w:t>侧液面高于</w:t>
      </w:r>
      <w:r w:rsidRPr="00823800">
        <w:rPr>
          <w:rFonts w:ascii="Times New Roman" w:hAnsi="Times New Roman" w:cs="Times New Roman"/>
        </w:rPr>
        <w:t>a</w:t>
      </w:r>
      <w:r w:rsidRPr="00823800">
        <w:rPr>
          <w:rFonts w:ascii="Times New Roman" w:hAnsi="Times New Roman" w:cs="Times New Roman"/>
        </w:rPr>
        <w:t>侧</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湖南卷</w:t>
      </w:r>
      <w:r>
        <w:rPr>
          <w:rFonts w:ascii="Times New Roman" w:eastAsia="楷体_GB2312" w:hAnsi="Times New Roman" w:cs="Times New Roman"/>
        </w:rPr>
        <w:t>]</w:t>
      </w:r>
      <w:r w:rsidRPr="00823800">
        <w:rPr>
          <w:rFonts w:ascii="Times New Roman" w:hAnsi="Times New Roman" w:cs="Times New Roman"/>
        </w:rPr>
        <w:t>质壁分离和质壁分离复原是某些生物细胞响应外界水分变化而发生的渗透调节过程。下列叙述错误的是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施肥过多引起的</w:t>
      </w:r>
      <w:r w:rsidRPr="00823800">
        <w:rPr>
          <w:rFonts w:hAnsi="宋体" w:cs="Times New Roman"/>
        </w:rPr>
        <w:t>“</w:t>
      </w:r>
      <w:r w:rsidRPr="00823800">
        <w:rPr>
          <w:rFonts w:ascii="Times New Roman" w:hAnsi="Times New Roman" w:cs="Times New Roman"/>
        </w:rPr>
        <w:t>烧苗</w:t>
      </w:r>
      <w:r w:rsidRPr="00823800">
        <w:rPr>
          <w:rFonts w:hAnsi="宋体" w:cs="Times New Roman"/>
        </w:rPr>
        <w:t>”</w:t>
      </w:r>
      <w:r w:rsidRPr="00823800">
        <w:rPr>
          <w:rFonts w:ascii="Times New Roman" w:hAnsi="Times New Roman" w:cs="Times New Roman"/>
        </w:rPr>
        <w:t>现象与质壁分离有关</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质壁分离过程中</w:t>
      </w:r>
      <w:r>
        <w:rPr>
          <w:rFonts w:ascii="Times New Roman" w:hAnsi="Times New Roman" w:cs="Times New Roman"/>
        </w:rPr>
        <w:t>，</w:t>
      </w:r>
      <w:r w:rsidRPr="00823800">
        <w:rPr>
          <w:rFonts w:ascii="Times New Roman" w:hAnsi="Times New Roman" w:cs="Times New Roman"/>
        </w:rPr>
        <w:t>细胞膜可局部或全部脱离细胞壁</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质壁分离复原过程中</w:t>
      </w:r>
      <w:r>
        <w:rPr>
          <w:rFonts w:ascii="Times New Roman" w:hAnsi="Times New Roman" w:cs="Times New Roman"/>
        </w:rPr>
        <w:t>，</w:t>
      </w:r>
      <w:r w:rsidRPr="00823800">
        <w:rPr>
          <w:rFonts w:ascii="Times New Roman" w:hAnsi="Times New Roman" w:cs="Times New Roman"/>
        </w:rPr>
        <w:t>细胞的吸水能力逐渐降低</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1mol/LNaCl</w:t>
      </w:r>
      <w:r w:rsidRPr="00823800">
        <w:rPr>
          <w:rFonts w:ascii="Times New Roman" w:hAnsi="Times New Roman" w:cs="Times New Roman"/>
        </w:rPr>
        <w:t>溶液和</w:t>
      </w:r>
      <w:r w:rsidRPr="00823800">
        <w:rPr>
          <w:rFonts w:ascii="Times New Roman" w:hAnsi="Times New Roman" w:cs="Times New Roman"/>
        </w:rPr>
        <w:t>1mol/L</w:t>
      </w:r>
      <w:r w:rsidRPr="00823800">
        <w:rPr>
          <w:rFonts w:ascii="Times New Roman" w:hAnsi="Times New Roman" w:cs="Times New Roman"/>
        </w:rPr>
        <w:t>蔗糖溶液的渗透压大小相等</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广东卷</w:t>
      </w:r>
      <w:r>
        <w:rPr>
          <w:rFonts w:ascii="Times New Roman" w:eastAsia="楷体_GB2312" w:hAnsi="Times New Roman" w:cs="Times New Roman"/>
        </w:rPr>
        <w:t>]</w:t>
      </w:r>
      <w:r w:rsidRPr="00823800">
        <w:rPr>
          <w:rFonts w:ascii="Times New Roman" w:hAnsi="Times New Roman" w:cs="Times New Roman"/>
        </w:rPr>
        <w:t>保卫细胞吸水膨胀使植物气孔张开。适宜条件下</w:t>
      </w:r>
      <w:r>
        <w:rPr>
          <w:rFonts w:ascii="Times New Roman" w:hAnsi="Times New Roman" w:cs="Times New Roman"/>
        </w:rPr>
        <w:t>，</w:t>
      </w:r>
      <w:r w:rsidRPr="00823800">
        <w:rPr>
          <w:rFonts w:ascii="Times New Roman" w:hAnsi="Times New Roman" w:cs="Times New Roman"/>
        </w:rPr>
        <w:t>制作紫鸭跖草叶片下表皮临时装片</w:t>
      </w:r>
      <w:r>
        <w:rPr>
          <w:rFonts w:ascii="Times New Roman" w:hAnsi="Times New Roman" w:cs="Times New Roman"/>
        </w:rPr>
        <w:t>，</w:t>
      </w:r>
      <w:r w:rsidRPr="00823800">
        <w:rPr>
          <w:rFonts w:ascii="Times New Roman" w:hAnsi="Times New Roman" w:cs="Times New Roman"/>
        </w:rPr>
        <w:t>观察蔗糖溶液对气孔开闭的影响</w:t>
      </w:r>
      <w:r>
        <w:rPr>
          <w:rFonts w:ascii="Times New Roman" w:hAnsi="Times New Roman" w:cs="Times New Roman"/>
        </w:rPr>
        <w:t>，</w:t>
      </w:r>
      <w:r w:rsidRPr="00823800">
        <w:rPr>
          <w:rFonts w:ascii="Times New Roman" w:hAnsi="Times New Roman" w:cs="Times New Roman"/>
        </w:rPr>
        <w:t>图为操作及观察结果示意图。下列叙述错误的是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0CC9" w:rsidRDefault="00230CC9" w:rsidP="00230C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749300"/>
            <wp:effectExtent l="0" t="0" r="0" b="0"/>
            <wp:docPr id="1" name="图片 1" descr="21广东卷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广东卷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749300"/>
                    </a:xfrm>
                    <a:prstGeom prst="rect">
                      <a:avLst/>
                    </a:prstGeom>
                    <a:noFill/>
                    <a:ln>
                      <a:noFill/>
                    </a:ln>
                  </pic:spPr>
                </pic:pic>
              </a:graphicData>
            </a:graphic>
          </wp:inline>
        </w:drawing>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比较保卫细胞细胞液浓度</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处理后</w:t>
      </w:r>
      <w:r w:rsidRPr="00823800">
        <w:rPr>
          <w:rFonts w:ascii="Times New Roman" w:hAnsi="Times New Roman" w:cs="Times New Roman"/>
        </w:rPr>
        <w:t>&gt;</w:t>
      </w:r>
      <w:r w:rsidRPr="00823800">
        <w:rPr>
          <w:rFonts w:hAnsi="宋体" w:cs="Times New Roman"/>
        </w:rPr>
        <w:t>①</w:t>
      </w:r>
      <w:r w:rsidRPr="00823800">
        <w:rPr>
          <w:rFonts w:ascii="Times New Roman" w:hAnsi="Times New Roman" w:cs="Times New Roman"/>
        </w:rPr>
        <w:t>处理后</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质壁分离现象最可能出现在滴加</w:t>
      </w:r>
      <w:r w:rsidRPr="00823800">
        <w:rPr>
          <w:rFonts w:hAnsi="宋体" w:cs="Times New Roman"/>
        </w:rPr>
        <w:t>②</w:t>
      </w:r>
      <w:r w:rsidRPr="00823800">
        <w:rPr>
          <w:rFonts w:ascii="Times New Roman" w:hAnsi="Times New Roman" w:cs="Times New Roman"/>
        </w:rPr>
        <w:t>后的观察视野中</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滴加</w:t>
      </w:r>
      <w:r w:rsidRPr="00823800">
        <w:rPr>
          <w:rFonts w:hAnsi="宋体" w:cs="Times New Roman"/>
        </w:rPr>
        <w:t>③</w:t>
      </w:r>
      <w:r w:rsidRPr="00823800">
        <w:rPr>
          <w:rFonts w:ascii="Times New Roman" w:hAnsi="Times New Roman" w:cs="Times New Roman"/>
        </w:rPr>
        <w:t>后有较多水分子进入保卫细胞</w:t>
      </w:r>
    </w:p>
    <w:p w:rsidR="00230CC9" w:rsidRDefault="00230CC9" w:rsidP="00230C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推测</w:t>
      </w:r>
      <w:r w:rsidRPr="00823800">
        <w:rPr>
          <w:rFonts w:ascii="Times New Roman" w:hAnsi="Times New Roman" w:cs="Times New Roman"/>
        </w:rPr>
        <w:t>3</w:t>
      </w:r>
      <w:r w:rsidRPr="00823800">
        <w:rPr>
          <w:rFonts w:ascii="Times New Roman" w:hAnsi="Times New Roman" w:cs="Times New Roman"/>
        </w:rPr>
        <w:t>种蔗糖溶液浓度高低为</w:t>
      </w:r>
      <w:r w:rsidRPr="00823800">
        <w:rPr>
          <w:rFonts w:hAnsi="宋体" w:cs="Times New Roman"/>
        </w:rPr>
        <w:t>②</w:t>
      </w:r>
      <w:r w:rsidRPr="00823800">
        <w:rPr>
          <w:rFonts w:ascii="Times New Roman" w:hAnsi="Times New Roman" w:cs="Times New Roman"/>
        </w:rPr>
        <w:t>&gt;</w:t>
      </w:r>
      <w:r w:rsidRPr="00823800">
        <w:rPr>
          <w:rFonts w:hAnsi="宋体" w:cs="Times New Roman"/>
        </w:rPr>
        <w:t>①</w:t>
      </w:r>
      <w:r w:rsidRPr="00823800">
        <w:rPr>
          <w:rFonts w:ascii="Times New Roman" w:hAnsi="Times New Roman" w:cs="Times New Roman"/>
        </w:rPr>
        <w:t>&gt;</w:t>
      </w:r>
      <w:r w:rsidRPr="00823800">
        <w:rPr>
          <w:rFonts w:hAnsi="宋体" w:cs="Times New Roman"/>
        </w:rPr>
        <w:t>③</w:t>
      </w:r>
    </w:p>
    <w:p w:rsidR="00EE1581" w:rsidRPr="00230CC9" w:rsidRDefault="00EE1581">
      <w:bookmarkStart w:id="0" w:name="_GoBack"/>
      <w:bookmarkEnd w:id="0"/>
    </w:p>
    <w:sectPr w:rsidR="00EE1581" w:rsidRPr="00230CC9" w:rsidSect="00A415E8">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438" w:rsidRDefault="00487438" w:rsidP="00487438">
      <w:r>
        <w:separator/>
      </w:r>
    </w:p>
  </w:endnote>
  <w:endnote w:type="continuationSeparator" w:id="1">
    <w:p w:rsidR="00487438" w:rsidRDefault="00487438" w:rsidP="004874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438" w:rsidRDefault="00487438" w:rsidP="00487438">
      <w:r>
        <w:separator/>
      </w:r>
    </w:p>
  </w:footnote>
  <w:footnote w:type="continuationSeparator" w:id="1">
    <w:p w:rsidR="00487438" w:rsidRDefault="00487438" w:rsidP="004874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438" w:rsidRPr="00487438" w:rsidRDefault="00487438" w:rsidP="0048743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CC9"/>
    <w:rsid w:val="00230CC9"/>
    <w:rsid w:val="00487438"/>
    <w:rsid w:val="00A415E8"/>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5E8"/>
    <w:pPr>
      <w:widowControl w:val="0"/>
      <w:jc w:val="both"/>
    </w:pPr>
  </w:style>
  <w:style w:type="paragraph" w:styleId="2">
    <w:name w:val="heading 2"/>
    <w:basedOn w:val="a"/>
    <w:next w:val="a"/>
    <w:link w:val="2Char"/>
    <w:uiPriority w:val="9"/>
    <w:semiHidden/>
    <w:unhideWhenUsed/>
    <w:qFormat/>
    <w:rsid w:val="00230C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30CC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30CC9"/>
    <w:rPr>
      <w:rFonts w:ascii="宋体" w:eastAsia="宋体" w:hAnsi="Courier New" w:cs="Courier New"/>
      <w:szCs w:val="21"/>
    </w:rPr>
  </w:style>
  <w:style w:type="character" w:customStyle="1" w:styleId="Char">
    <w:name w:val="纯文本 Char"/>
    <w:basedOn w:val="a0"/>
    <w:link w:val="a3"/>
    <w:uiPriority w:val="99"/>
    <w:rsid w:val="00230CC9"/>
    <w:rPr>
      <w:rFonts w:ascii="宋体" w:eastAsia="宋体" w:hAnsi="Courier New" w:cs="Courier New"/>
      <w:szCs w:val="21"/>
    </w:rPr>
  </w:style>
  <w:style w:type="paragraph" w:styleId="a4">
    <w:name w:val="Balloon Text"/>
    <w:basedOn w:val="a"/>
    <w:link w:val="Char0"/>
    <w:uiPriority w:val="99"/>
    <w:semiHidden/>
    <w:unhideWhenUsed/>
    <w:rsid w:val="00230CC9"/>
    <w:rPr>
      <w:sz w:val="18"/>
      <w:szCs w:val="18"/>
    </w:rPr>
  </w:style>
  <w:style w:type="character" w:customStyle="1" w:styleId="Char0">
    <w:name w:val="批注框文本 Char"/>
    <w:basedOn w:val="a0"/>
    <w:link w:val="a4"/>
    <w:uiPriority w:val="99"/>
    <w:semiHidden/>
    <w:rsid w:val="00230CC9"/>
    <w:rPr>
      <w:sz w:val="18"/>
      <w:szCs w:val="18"/>
    </w:rPr>
  </w:style>
  <w:style w:type="paragraph" w:styleId="a5">
    <w:name w:val="header"/>
    <w:basedOn w:val="a"/>
    <w:link w:val="Char1"/>
    <w:uiPriority w:val="99"/>
    <w:semiHidden/>
    <w:unhideWhenUsed/>
    <w:rsid w:val="0048743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487438"/>
    <w:rPr>
      <w:sz w:val="18"/>
      <w:szCs w:val="18"/>
    </w:rPr>
  </w:style>
  <w:style w:type="paragraph" w:styleId="a6">
    <w:name w:val="footer"/>
    <w:basedOn w:val="a"/>
    <w:link w:val="Char2"/>
    <w:uiPriority w:val="99"/>
    <w:semiHidden/>
    <w:unhideWhenUsed/>
    <w:rsid w:val="0048743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4874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30C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30CC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30CC9"/>
    <w:rPr>
      <w:rFonts w:ascii="宋体" w:eastAsia="宋体" w:hAnsi="Courier New" w:cs="Courier New"/>
      <w:szCs w:val="21"/>
    </w:rPr>
  </w:style>
  <w:style w:type="character" w:customStyle="1" w:styleId="Char">
    <w:name w:val="纯文本 Char"/>
    <w:basedOn w:val="a0"/>
    <w:link w:val="a3"/>
    <w:uiPriority w:val="99"/>
    <w:rsid w:val="00230CC9"/>
    <w:rPr>
      <w:rFonts w:ascii="宋体" w:eastAsia="宋体" w:hAnsi="Courier New" w:cs="Courier New"/>
      <w:szCs w:val="21"/>
    </w:rPr>
  </w:style>
  <w:style w:type="paragraph" w:styleId="a4">
    <w:name w:val="Balloon Text"/>
    <w:basedOn w:val="a"/>
    <w:link w:val="Char0"/>
    <w:uiPriority w:val="99"/>
    <w:semiHidden/>
    <w:unhideWhenUsed/>
    <w:rsid w:val="00230CC9"/>
    <w:rPr>
      <w:sz w:val="18"/>
      <w:szCs w:val="18"/>
    </w:rPr>
  </w:style>
  <w:style w:type="character" w:customStyle="1" w:styleId="Char0">
    <w:name w:val="批注框文本 Char"/>
    <w:basedOn w:val="a0"/>
    <w:link w:val="a4"/>
    <w:uiPriority w:val="99"/>
    <w:semiHidden/>
    <w:rsid w:val="00230CC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1204</Characters>
  <Application>Microsoft Office Word</Application>
  <DocSecurity>0</DocSecurity>
  <Lines>10</Lines>
  <Paragraphs>2</Paragraphs>
  <ScaleCrop>false</ScaleCrop>
  <Company>微软中国</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2021-07-01T03:06:00Z</dcterms:created>
  <dcterms:modified xsi:type="dcterms:W3CDTF">2021-09-03T11:00:00Z</dcterms:modified>
</cp:coreProperties>
</file>